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11D11" w:rsidRDefault="00D7159F">
      <w:pPr>
        <w:pStyle w:val="Default"/>
        <w:snapToGrid w:val="0"/>
        <w:spacing w:line="360" w:lineRule="auto"/>
        <w:jc w:val="center"/>
        <w:rPr>
          <w:b/>
          <w:bCs/>
          <w:color w:val="auto"/>
          <w:sz w:val="26"/>
          <w:szCs w:val="26"/>
        </w:rPr>
      </w:pPr>
      <w:r>
        <w:rPr>
          <w:b/>
          <w:bCs/>
          <w:color w:val="auto"/>
          <w:sz w:val="26"/>
          <w:szCs w:val="26"/>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b/>
          <w:bCs/>
          <w:color w:val="auto"/>
          <w:sz w:val="26"/>
          <w:szCs w:val="26"/>
        </w:rPr>
        <w:instrText>ADDIN CNKISM.UserStyle</w:instrText>
      </w:r>
      <w:r>
        <w:rPr>
          <w:b/>
          <w:bCs/>
          <w:color w:val="auto"/>
          <w:sz w:val="26"/>
          <w:szCs w:val="26"/>
        </w:rPr>
      </w:r>
      <w:r>
        <w:rPr>
          <w:b/>
          <w:bCs/>
          <w:color w:val="auto"/>
          <w:sz w:val="26"/>
          <w:szCs w:val="26"/>
        </w:rPr>
        <w:fldChar w:fldCharType="end"/>
      </w:r>
      <w:r>
        <w:rPr>
          <w:b/>
          <w:bCs/>
          <w:color w:val="auto"/>
          <w:sz w:val="26"/>
          <w:szCs w:val="26"/>
        </w:rPr>
        <w:t>202</w:t>
      </w:r>
      <w:r>
        <w:rPr>
          <w:rFonts w:hint="eastAsia"/>
          <w:b/>
          <w:bCs/>
          <w:color w:val="auto"/>
          <w:sz w:val="26"/>
          <w:szCs w:val="26"/>
        </w:rPr>
        <w:t>6</w:t>
      </w:r>
      <w:r>
        <w:rPr>
          <w:b/>
          <w:bCs/>
          <w:color w:val="auto"/>
          <w:sz w:val="26"/>
          <w:szCs w:val="26"/>
        </w:rPr>
        <w:t xml:space="preserve"> CSAMSE Conference</w:t>
      </w:r>
    </w:p>
    <w:p w:rsidR="00C11D11" w:rsidRDefault="00D7159F">
      <w:pPr>
        <w:pStyle w:val="Default"/>
        <w:snapToGrid w:val="0"/>
        <w:spacing w:line="360" w:lineRule="auto"/>
        <w:jc w:val="center"/>
        <w:rPr>
          <w:b/>
          <w:bCs/>
          <w:color w:val="auto"/>
          <w:sz w:val="26"/>
          <w:szCs w:val="26"/>
        </w:rPr>
      </w:pPr>
      <w:r>
        <w:rPr>
          <w:b/>
          <w:bCs/>
          <w:color w:val="auto"/>
          <w:sz w:val="26"/>
          <w:szCs w:val="26"/>
        </w:rPr>
        <w:t>Call for Papers on Special Issue of JMSE</w:t>
      </w:r>
    </w:p>
    <w:p w:rsidR="00C11D11" w:rsidRDefault="00D7159F">
      <w:pPr>
        <w:pStyle w:val="Default"/>
        <w:snapToGrid w:val="0"/>
        <w:spacing w:line="360" w:lineRule="auto"/>
        <w:jc w:val="center"/>
        <w:rPr>
          <w:b/>
          <w:bCs/>
          <w:color w:val="auto"/>
          <w:sz w:val="26"/>
          <w:szCs w:val="26"/>
        </w:rPr>
      </w:pPr>
      <w:r>
        <w:rPr>
          <w:rFonts w:hint="eastAsia"/>
          <w:b/>
          <w:bCs/>
          <w:color w:val="auto"/>
          <w:sz w:val="26"/>
          <w:szCs w:val="26"/>
        </w:rPr>
        <w:t>Operations Innovation and Supply Chain Resilience</w:t>
      </w:r>
    </w:p>
    <w:p w:rsidR="00C11D11" w:rsidRDefault="00C11D11">
      <w:pPr>
        <w:pStyle w:val="Default"/>
        <w:spacing w:line="360" w:lineRule="auto"/>
        <w:jc w:val="both"/>
        <w:rPr>
          <w:color w:val="auto"/>
          <w:sz w:val="20"/>
          <w:szCs w:val="20"/>
        </w:rPr>
      </w:pPr>
    </w:p>
    <w:p w:rsidR="00C11D11" w:rsidRDefault="00D7159F">
      <w:pPr>
        <w:pStyle w:val="Default"/>
        <w:snapToGrid w:val="0"/>
        <w:spacing w:line="360" w:lineRule="auto"/>
        <w:jc w:val="both"/>
        <w:rPr>
          <w:color w:val="auto"/>
          <w:sz w:val="20"/>
          <w:szCs w:val="20"/>
        </w:rPr>
      </w:pPr>
      <w:r>
        <w:rPr>
          <w:color w:val="auto"/>
          <w:sz w:val="20"/>
          <w:szCs w:val="20"/>
        </w:rPr>
        <w:t xml:space="preserve">This SI’s theme </w:t>
      </w:r>
      <w:r>
        <w:rPr>
          <w:rFonts w:hint="eastAsia"/>
          <w:color w:val="auto"/>
          <w:sz w:val="20"/>
          <w:szCs w:val="20"/>
        </w:rPr>
        <w:t>is</w:t>
      </w:r>
      <w:r>
        <w:rPr>
          <w:color w:val="auto"/>
          <w:sz w:val="20"/>
          <w:szCs w:val="20"/>
        </w:rPr>
        <w:t xml:space="preserve"> “</w:t>
      </w:r>
      <w:r>
        <w:rPr>
          <w:rFonts w:hint="eastAsia"/>
          <w:i/>
          <w:sz w:val="20"/>
          <w:szCs w:val="20"/>
        </w:rPr>
        <w:t xml:space="preserve">Operations Innovation </w:t>
      </w:r>
      <w:r>
        <w:rPr>
          <w:rFonts w:hint="eastAsia"/>
          <w:i/>
          <w:sz w:val="20"/>
          <w:szCs w:val="20"/>
        </w:rPr>
        <w:t>and Supply Chain Resilience</w:t>
      </w:r>
      <w:r>
        <w:rPr>
          <w:color w:val="auto"/>
          <w:sz w:val="20"/>
          <w:szCs w:val="20"/>
        </w:rPr>
        <w:t>”</w:t>
      </w:r>
      <w:r>
        <w:rPr>
          <w:rFonts w:hint="eastAsia"/>
          <w:color w:val="auto"/>
          <w:sz w:val="20"/>
          <w:szCs w:val="20"/>
        </w:rPr>
        <w:t>.</w:t>
      </w:r>
      <w:r>
        <w:rPr>
          <w:color w:val="auto"/>
          <w:sz w:val="20"/>
          <w:szCs w:val="20"/>
        </w:rPr>
        <w:t xml:space="preserve"> </w:t>
      </w:r>
      <w:r>
        <w:rPr>
          <w:rFonts w:hint="eastAsia"/>
          <w:color w:val="auto"/>
          <w:sz w:val="20"/>
          <w:szCs w:val="20"/>
        </w:rPr>
        <w:t>In the context of global volatility and uncertainty, the deepening application of digitalization, automation, and intelligent technologies in operations management has given rise to innovative models and practices that enhance</w:t>
      </w:r>
      <w:r>
        <w:rPr>
          <w:rFonts w:hint="eastAsia"/>
          <w:color w:val="auto"/>
          <w:sz w:val="20"/>
          <w:szCs w:val="20"/>
        </w:rPr>
        <w:t xml:space="preserve"> supply chain resilience. These innovations serve as a crucial foundation for rebuilding robust supply chain networks, reconfiguring production and distribution layouts, and strengthening risk response capabilities. They profoundly influence the design of </w:t>
      </w:r>
      <w:r>
        <w:rPr>
          <w:rFonts w:hint="eastAsia"/>
          <w:color w:val="auto"/>
          <w:sz w:val="20"/>
          <w:szCs w:val="20"/>
        </w:rPr>
        <w:t>procurement, production, inventory, and logistics systems, as well as the coordination mechanisms among partners. By improving the transparency, agility, and adaptability of supply chains, they effectively address disruptions in supply and demand, optimize</w:t>
      </w:r>
      <w:r>
        <w:rPr>
          <w:rFonts w:hint="eastAsia"/>
          <w:color w:val="auto"/>
          <w:sz w:val="20"/>
          <w:szCs w:val="20"/>
        </w:rPr>
        <w:t xml:space="preserve"> resource allocation efficiency, and ensure the continuity and stability of global economic operations. This trend not only reshapes the competitive dynamics between enterprises and industries but also draws extensive attention and exploration from both ac</w:t>
      </w:r>
      <w:r>
        <w:rPr>
          <w:rFonts w:hint="eastAsia"/>
          <w:color w:val="auto"/>
          <w:sz w:val="20"/>
          <w:szCs w:val="20"/>
        </w:rPr>
        <w:t>ademi</w:t>
      </w:r>
      <w:r>
        <w:rPr>
          <w:rFonts w:hint="eastAsia"/>
          <w:color w:val="auto"/>
          <w:sz w:val="20"/>
          <w:szCs w:val="20"/>
        </w:rPr>
        <w:t>a</w:t>
      </w:r>
      <w:r>
        <w:rPr>
          <w:rFonts w:hint="eastAsia"/>
          <w:color w:val="auto"/>
          <w:sz w:val="20"/>
          <w:szCs w:val="20"/>
        </w:rPr>
        <w:t xml:space="preserve"> and </w:t>
      </w:r>
      <w:r>
        <w:rPr>
          <w:rFonts w:hint="eastAsia"/>
          <w:color w:val="auto"/>
          <w:sz w:val="20"/>
          <w:szCs w:val="20"/>
        </w:rPr>
        <w:t>practice</w:t>
      </w:r>
      <w:r>
        <w:rPr>
          <w:rFonts w:hint="eastAsia"/>
          <w:color w:val="auto"/>
          <w:sz w:val="20"/>
          <w:szCs w:val="20"/>
        </w:rPr>
        <w:t>.</w:t>
      </w:r>
    </w:p>
    <w:p w:rsidR="00C11D11" w:rsidRDefault="00C11D11">
      <w:pPr>
        <w:pStyle w:val="Default"/>
        <w:snapToGrid w:val="0"/>
        <w:spacing w:line="360" w:lineRule="auto"/>
        <w:jc w:val="both"/>
        <w:rPr>
          <w:color w:val="auto"/>
          <w:sz w:val="20"/>
          <w:szCs w:val="20"/>
        </w:rPr>
      </w:pPr>
    </w:p>
    <w:p w:rsidR="00C11D11" w:rsidRDefault="00D7159F">
      <w:pPr>
        <w:pStyle w:val="Default"/>
        <w:snapToGrid w:val="0"/>
        <w:spacing w:line="360" w:lineRule="auto"/>
        <w:jc w:val="both"/>
        <w:rPr>
          <w:color w:val="auto"/>
          <w:sz w:val="20"/>
          <w:szCs w:val="20"/>
        </w:rPr>
      </w:pPr>
      <w:r>
        <w:rPr>
          <w:color w:val="auto"/>
          <w:sz w:val="20"/>
          <w:szCs w:val="20"/>
        </w:rPr>
        <w:t xml:space="preserve">This Special Issue, therefore jointly launched by </w:t>
      </w:r>
      <w:r>
        <w:rPr>
          <w:rFonts w:hint="eastAsia"/>
          <w:color w:val="auto"/>
          <w:sz w:val="20"/>
          <w:szCs w:val="20"/>
        </w:rPr>
        <w:t>JMSE</w:t>
      </w:r>
      <w:r>
        <w:rPr>
          <w:color w:val="auto"/>
          <w:sz w:val="20"/>
          <w:szCs w:val="20"/>
        </w:rPr>
        <w:t xml:space="preserve"> and CSAMSE through the platform of 202</w:t>
      </w:r>
      <w:r>
        <w:rPr>
          <w:rFonts w:hint="eastAsia"/>
          <w:color w:val="auto"/>
          <w:sz w:val="20"/>
          <w:szCs w:val="20"/>
        </w:rPr>
        <w:t>6</w:t>
      </w:r>
      <w:r>
        <w:rPr>
          <w:color w:val="auto"/>
          <w:sz w:val="20"/>
          <w:szCs w:val="20"/>
        </w:rPr>
        <w:t xml:space="preserve"> CSAMSE conference, seeks to publish high-quality scholarly papers that focus on original works or comprehensive reviews with relevancy of </w:t>
      </w:r>
      <w:r>
        <w:rPr>
          <w:i/>
          <w:sz w:val="20"/>
          <w:szCs w:val="20"/>
        </w:rPr>
        <w:t>A</w:t>
      </w:r>
      <w:r>
        <w:rPr>
          <w:i/>
          <w:sz w:val="20"/>
          <w:szCs w:val="20"/>
        </w:rPr>
        <w:t>I and New Productive Forces</w:t>
      </w:r>
      <w:r>
        <w:rPr>
          <w:i/>
          <w:color w:val="auto"/>
          <w:sz w:val="20"/>
          <w:szCs w:val="20"/>
        </w:rPr>
        <w:t xml:space="preserve"> </w:t>
      </w:r>
      <w:r>
        <w:rPr>
          <w:color w:val="auto"/>
          <w:sz w:val="20"/>
          <w:szCs w:val="20"/>
        </w:rPr>
        <w:t xml:space="preserve">in the fields of management science and engineering. Some topics include, but are not limited to, the following: </w:t>
      </w:r>
    </w:p>
    <w:p w:rsidR="00C11D11" w:rsidRDefault="00D7159F">
      <w:pPr>
        <w:pStyle w:val="Default"/>
        <w:numPr>
          <w:ilvl w:val="0"/>
          <w:numId w:val="1"/>
        </w:numPr>
        <w:tabs>
          <w:tab w:val="left" w:pos="567"/>
        </w:tabs>
        <w:snapToGrid w:val="0"/>
        <w:spacing w:line="360" w:lineRule="auto"/>
        <w:ind w:hanging="136"/>
        <w:jc w:val="both"/>
        <w:rPr>
          <w:rFonts w:ascii="Book Antiqua" w:hAnsi="Book Antiqua" w:cs="Wingdings"/>
          <w:color w:val="auto"/>
          <w:sz w:val="20"/>
          <w:szCs w:val="20"/>
        </w:rPr>
      </w:pPr>
      <w:bookmarkStart w:id="1" w:name="OLE_LINK6"/>
      <w:r>
        <w:rPr>
          <w:rFonts w:ascii="Book Antiqua" w:hAnsi="Book Antiqua" w:cs="Wingdings"/>
          <w:color w:val="auto"/>
          <w:sz w:val="20"/>
          <w:szCs w:val="20"/>
        </w:rPr>
        <w:t>M</w:t>
      </w:r>
      <w:r>
        <w:rPr>
          <w:rFonts w:ascii="Book Antiqua" w:hAnsi="Book Antiqua" w:cs="Wingdings" w:hint="eastAsia"/>
          <w:color w:val="auto"/>
          <w:sz w:val="20"/>
          <w:szCs w:val="20"/>
        </w:rPr>
        <w:t>ethodology</w:t>
      </w:r>
      <w:bookmarkEnd w:id="1"/>
      <w:r>
        <w:rPr>
          <w:rFonts w:ascii="Book Antiqua" w:hAnsi="Book Antiqua" w:cs="Wingdings"/>
          <w:color w:val="auto"/>
          <w:sz w:val="20"/>
          <w:szCs w:val="20"/>
        </w:rPr>
        <w:t xml:space="preserve"> </w:t>
      </w:r>
      <w:r>
        <w:rPr>
          <w:rFonts w:ascii="Book Antiqua" w:hAnsi="Book Antiqua" w:cs="Wingdings" w:hint="eastAsia"/>
          <w:color w:val="auto"/>
          <w:sz w:val="20"/>
          <w:szCs w:val="20"/>
        </w:rPr>
        <w:t>and</w:t>
      </w:r>
      <w:r>
        <w:rPr>
          <w:rFonts w:ascii="Book Antiqua" w:hAnsi="Book Antiqua" w:cs="Wingdings"/>
          <w:color w:val="auto"/>
          <w:sz w:val="20"/>
          <w:szCs w:val="20"/>
        </w:rPr>
        <w:t xml:space="preserve"> </w:t>
      </w:r>
      <w:r>
        <w:rPr>
          <w:rFonts w:ascii="Book Antiqua" w:hAnsi="Book Antiqua" w:cs="Wingdings" w:hint="eastAsia"/>
          <w:color w:val="auto"/>
          <w:sz w:val="20"/>
          <w:szCs w:val="20"/>
        </w:rPr>
        <w:t>modeling</w:t>
      </w:r>
      <w:r>
        <w:rPr>
          <w:rFonts w:ascii="Book Antiqua" w:hAnsi="Book Antiqua" w:cs="Wingdings"/>
          <w:color w:val="auto"/>
          <w:sz w:val="20"/>
          <w:szCs w:val="20"/>
        </w:rPr>
        <w:t xml:space="preserve"> for addressing the pertinent issues of the SI’s theme above</w:t>
      </w:r>
    </w:p>
    <w:p w:rsidR="00C11D11" w:rsidRDefault="00D7159F">
      <w:pPr>
        <w:pStyle w:val="Default"/>
        <w:numPr>
          <w:ilvl w:val="0"/>
          <w:numId w:val="1"/>
        </w:numPr>
        <w:tabs>
          <w:tab w:val="left" w:pos="567"/>
        </w:tabs>
        <w:snapToGrid w:val="0"/>
        <w:spacing w:line="360" w:lineRule="auto"/>
        <w:ind w:left="284" w:firstLine="0"/>
        <w:jc w:val="both"/>
        <w:rPr>
          <w:rFonts w:ascii="Book Antiqua" w:hAnsi="Book Antiqua" w:cs="Wingdings"/>
          <w:color w:val="auto"/>
          <w:sz w:val="20"/>
          <w:szCs w:val="20"/>
        </w:rPr>
      </w:pPr>
      <w:r>
        <w:rPr>
          <w:rFonts w:ascii="Book Antiqua" w:hAnsi="Book Antiqua" w:cs="Wingdings"/>
          <w:color w:val="auto"/>
          <w:sz w:val="20"/>
          <w:szCs w:val="20"/>
        </w:rPr>
        <w:t xml:space="preserve">Data-driven management and </w:t>
      </w:r>
      <w:r>
        <w:rPr>
          <w:rFonts w:ascii="Book Antiqua" w:hAnsi="Book Antiqua" w:cs="Wingdings"/>
          <w:color w:val="auto"/>
          <w:sz w:val="20"/>
          <w:szCs w:val="20"/>
        </w:rPr>
        <w:t>decision-making in digital operations</w:t>
      </w:r>
    </w:p>
    <w:p w:rsidR="00C11D11" w:rsidRDefault="00D7159F">
      <w:pPr>
        <w:pStyle w:val="Default"/>
        <w:numPr>
          <w:ilvl w:val="0"/>
          <w:numId w:val="1"/>
        </w:numPr>
        <w:tabs>
          <w:tab w:val="left" w:pos="567"/>
        </w:tabs>
        <w:snapToGrid w:val="0"/>
        <w:spacing w:line="360" w:lineRule="auto"/>
        <w:ind w:left="284" w:firstLine="0"/>
        <w:jc w:val="both"/>
        <w:rPr>
          <w:rFonts w:ascii="Book Antiqua" w:hAnsi="Book Antiqua" w:cs="Wingdings"/>
          <w:color w:val="auto"/>
          <w:sz w:val="20"/>
          <w:szCs w:val="20"/>
        </w:rPr>
      </w:pPr>
      <w:r>
        <w:rPr>
          <w:color w:val="auto"/>
          <w:sz w:val="20"/>
          <w:szCs w:val="20"/>
        </w:rPr>
        <w:t xml:space="preserve">Artificial Intelligence </w:t>
      </w:r>
      <w:r>
        <w:rPr>
          <w:rFonts w:hint="eastAsia"/>
          <w:color w:val="auto"/>
          <w:sz w:val="20"/>
          <w:szCs w:val="20"/>
        </w:rPr>
        <w:t>in</w:t>
      </w:r>
      <w:r>
        <w:rPr>
          <w:color w:val="auto"/>
          <w:sz w:val="20"/>
          <w:szCs w:val="20"/>
        </w:rPr>
        <w:t xml:space="preserve"> MS &amp; E</w:t>
      </w:r>
    </w:p>
    <w:p w:rsidR="00C11D11" w:rsidRDefault="00D7159F">
      <w:pPr>
        <w:pStyle w:val="Default"/>
        <w:numPr>
          <w:ilvl w:val="0"/>
          <w:numId w:val="1"/>
        </w:numPr>
        <w:tabs>
          <w:tab w:val="left" w:pos="567"/>
        </w:tabs>
        <w:snapToGrid w:val="0"/>
        <w:spacing w:line="360" w:lineRule="auto"/>
        <w:ind w:left="284" w:firstLine="0"/>
        <w:jc w:val="both"/>
        <w:rPr>
          <w:rFonts w:ascii="Book Antiqua" w:hAnsi="Book Antiqua" w:cs="Wingdings"/>
          <w:color w:val="auto"/>
          <w:sz w:val="20"/>
          <w:szCs w:val="20"/>
        </w:rPr>
      </w:pPr>
      <w:r>
        <w:rPr>
          <w:rFonts w:ascii="Book Antiqua" w:hAnsi="Book Antiqua" w:cs="Wingdings"/>
          <w:color w:val="auto"/>
          <w:sz w:val="20"/>
          <w:szCs w:val="20"/>
        </w:rPr>
        <w:t xml:space="preserve">Cloud computing and analytics models </w:t>
      </w:r>
      <w:r>
        <w:rPr>
          <w:rFonts w:ascii="Book Antiqua" w:hAnsi="Book Antiqua" w:cs="Wingdings" w:hint="eastAsia"/>
          <w:color w:val="auto"/>
          <w:sz w:val="20"/>
          <w:szCs w:val="20"/>
        </w:rPr>
        <w:t>in</w:t>
      </w:r>
      <w:r>
        <w:rPr>
          <w:rFonts w:ascii="Book Antiqua" w:hAnsi="Book Antiqua" w:cs="Wingdings"/>
          <w:color w:val="auto"/>
          <w:sz w:val="20"/>
          <w:szCs w:val="20"/>
        </w:rPr>
        <w:t xml:space="preserve"> </w:t>
      </w:r>
      <w:r>
        <w:rPr>
          <w:rFonts w:ascii="Book Antiqua" w:hAnsi="Book Antiqua" w:cs="Wingdings" w:hint="eastAsia"/>
          <w:color w:val="auto"/>
          <w:sz w:val="20"/>
          <w:szCs w:val="20"/>
        </w:rPr>
        <w:t>b</w:t>
      </w:r>
      <w:r>
        <w:rPr>
          <w:rFonts w:ascii="Book Antiqua" w:hAnsi="Book Antiqua" w:cs="Wingdings"/>
          <w:color w:val="auto"/>
          <w:sz w:val="20"/>
          <w:szCs w:val="20"/>
        </w:rPr>
        <w:t xml:space="preserve">usiness </w:t>
      </w:r>
      <w:r>
        <w:rPr>
          <w:rFonts w:ascii="Book Antiqua" w:hAnsi="Book Antiqua" w:cs="Wingdings" w:hint="eastAsia"/>
          <w:color w:val="auto"/>
          <w:sz w:val="20"/>
          <w:szCs w:val="20"/>
        </w:rPr>
        <w:t>and</w:t>
      </w:r>
      <w:r>
        <w:rPr>
          <w:rFonts w:ascii="Book Antiqua" w:hAnsi="Book Antiqua" w:cs="Wingdings"/>
          <w:color w:val="auto"/>
          <w:sz w:val="20"/>
          <w:szCs w:val="20"/>
        </w:rPr>
        <w:t xml:space="preserve"> </w:t>
      </w:r>
      <w:r>
        <w:rPr>
          <w:rFonts w:ascii="Book Antiqua" w:hAnsi="Book Antiqua" w:cs="Wingdings" w:hint="eastAsia"/>
          <w:color w:val="auto"/>
          <w:sz w:val="20"/>
          <w:szCs w:val="20"/>
        </w:rPr>
        <w:t>management</w:t>
      </w:r>
    </w:p>
    <w:p w:rsidR="00C11D11" w:rsidRDefault="00D7159F">
      <w:pPr>
        <w:pStyle w:val="Default"/>
        <w:numPr>
          <w:ilvl w:val="0"/>
          <w:numId w:val="1"/>
        </w:numPr>
        <w:tabs>
          <w:tab w:val="left" w:pos="567"/>
        </w:tabs>
        <w:snapToGrid w:val="0"/>
        <w:spacing w:line="360" w:lineRule="auto"/>
        <w:ind w:left="284" w:firstLine="0"/>
        <w:jc w:val="both"/>
        <w:rPr>
          <w:rFonts w:ascii="Book Antiqua" w:hAnsi="Book Antiqua" w:cs="Wingdings"/>
          <w:color w:val="auto"/>
          <w:sz w:val="20"/>
          <w:szCs w:val="20"/>
        </w:rPr>
      </w:pPr>
      <w:r>
        <w:rPr>
          <w:rFonts w:ascii="Book Antiqua" w:hAnsi="Book Antiqua" w:cs="Wingdings"/>
          <w:color w:val="auto"/>
          <w:sz w:val="20"/>
          <w:szCs w:val="20"/>
        </w:rPr>
        <w:t>Advances on ESG and supply chains</w:t>
      </w:r>
    </w:p>
    <w:p w:rsidR="00C11D11" w:rsidRDefault="00D7159F">
      <w:pPr>
        <w:pStyle w:val="Default"/>
        <w:snapToGrid w:val="0"/>
        <w:spacing w:before="60" w:after="60" w:line="360" w:lineRule="auto"/>
        <w:jc w:val="both"/>
        <w:rPr>
          <w:color w:val="auto"/>
          <w:sz w:val="22"/>
          <w:szCs w:val="22"/>
        </w:rPr>
      </w:pPr>
      <w:r>
        <w:rPr>
          <w:b/>
          <w:bCs/>
          <w:color w:val="auto"/>
          <w:sz w:val="22"/>
          <w:szCs w:val="22"/>
        </w:rPr>
        <w:t>How to make submission</w:t>
      </w:r>
    </w:p>
    <w:p w:rsidR="00C11D11" w:rsidRDefault="00D7159F">
      <w:pPr>
        <w:pStyle w:val="Default"/>
        <w:snapToGrid w:val="0"/>
        <w:spacing w:line="360" w:lineRule="auto"/>
        <w:jc w:val="both"/>
        <w:rPr>
          <w:color w:val="auto"/>
          <w:sz w:val="20"/>
          <w:szCs w:val="20"/>
        </w:rPr>
      </w:pPr>
      <w:r>
        <w:rPr>
          <w:color w:val="auto"/>
          <w:sz w:val="20"/>
          <w:szCs w:val="20"/>
        </w:rPr>
        <w:t>Please submit your paper via JMSE submission system (</w:t>
      </w:r>
      <w:hyperlink r:id="rId8" w:history="1">
        <w:r>
          <w:rPr>
            <w:rStyle w:val="ae"/>
            <w:sz w:val="20"/>
            <w:szCs w:val="20"/>
          </w:rPr>
          <w:t>https://www.sciencedirect.com/journal/journal-of-management-science-and-engineering</w:t>
        </w:r>
      </w:hyperlink>
      <w:r>
        <w:rPr>
          <w:color w:val="auto"/>
          <w:sz w:val="20"/>
          <w:szCs w:val="20"/>
        </w:rPr>
        <w:t>) by specifying the type “SI: 202</w:t>
      </w:r>
      <w:r>
        <w:rPr>
          <w:rFonts w:hint="eastAsia"/>
          <w:color w:val="auto"/>
          <w:sz w:val="20"/>
          <w:szCs w:val="20"/>
        </w:rPr>
        <w:t>6</w:t>
      </w:r>
      <w:r>
        <w:rPr>
          <w:color w:val="auto"/>
          <w:sz w:val="20"/>
          <w:szCs w:val="20"/>
        </w:rPr>
        <w:t xml:space="preserve"> CSAMSE”. </w:t>
      </w:r>
    </w:p>
    <w:p w:rsidR="00C11D11" w:rsidRDefault="00D7159F">
      <w:pPr>
        <w:pStyle w:val="Default"/>
        <w:snapToGrid w:val="0"/>
        <w:spacing w:before="60" w:after="60" w:line="360" w:lineRule="auto"/>
        <w:jc w:val="both"/>
        <w:rPr>
          <w:b/>
          <w:bCs/>
          <w:color w:val="auto"/>
          <w:sz w:val="22"/>
          <w:szCs w:val="22"/>
        </w:rPr>
      </w:pPr>
      <w:r>
        <w:rPr>
          <w:b/>
          <w:bCs/>
          <w:color w:val="auto"/>
          <w:sz w:val="22"/>
          <w:szCs w:val="22"/>
        </w:rPr>
        <w:t>Publication schedule</w:t>
      </w:r>
    </w:p>
    <w:p w:rsidR="00C11D11" w:rsidRDefault="00D7159F">
      <w:pPr>
        <w:pStyle w:val="Default"/>
        <w:snapToGrid w:val="0"/>
        <w:spacing w:line="360" w:lineRule="auto"/>
        <w:jc w:val="both"/>
        <w:rPr>
          <w:color w:val="auto"/>
          <w:sz w:val="20"/>
          <w:szCs w:val="20"/>
        </w:rPr>
      </w:pPr>
      <w:r>
        <w:rPr>
          <w:color w:val="auto"/>
          <w:sz w:val="20"/>
          <w:szCs w:val="20"/>
        </w:rPr>
        <w:t xml:space="preserve">Manuscript submission deadline: </w:t>
      </w:r>
      <w:r>
        <w:rPr>
          <w:rFonts w:hint="eastAsia"/>
          <w:color w:val="auto"/>
          <w:sz w:val="20"/>
          <w:szCs w:val="20"/>
        </w:rPr>
        <w:t>May</w:t>
      </w:r>
      <w:r>
        <w:rPr>
          <w:color w:val="auto"/>
          <w:sz w:val="20"/>
          <w:szCs w:val="20"/>
        </w:rPr>
        <w:t xml:space="preserve"> </w:t>
      </w:r>
      <w:r>
        <w:rPr>
          <w:rFonts w:hint="eastAsia"/>
          <w:color w:val="auto"/>
          <w:sz w:val="20"/>
          <w:szCs w:val="20"/>
        </w:rPr>
        <w:t>18</w:t>
      </w:r>
      <w:r>
        <w:rPr>
          <w:color w:val="auto"/>
          <w:sz w:val="20"/>
          <w:szCs w:val="20"/>
        </w:rPr>
        <w:t>, 202</w:t>
      </w:r>
      <w:r>
        <w:rPr>
          <w:rFonts w:hint="eastAsia"/>
          <w:color w:val="auto"/>
          <w:sz w:val="20"/>
          <w:szCs w:val="20"/>
        </w:rPr>
        <w:t>6</w:t>
      </w:r>
    </w:p>
    <w:p w:rsidR="00C11D11" w:rsidRDefault="00D7159F">
      <w:pPr>
        <w:pStyle w:val="Default"/>
        <w:snapToGrid w:val="0"/>
        <w:spacing w:line="360" w:lineRule="auto"/>
        <w:jc w:val="both"/>
        <w:rPr>
          <w:color w:val="auto"/>
          <w:sz w:val="20"/>
          <w:szCs w:val="20"/>
        </w:rPr>
      </w:pPr>
      <w:r>
        <w:rPr>
          <w:color w:val="auto"/>
          <w:sz w:val="20"/>
          <w:szCs w:val="20"/>
        </w:rPr>
        <w:t>Deadline for final decision notification: Oct. 30, 202</w:t>
      </w:r>
      <w:r>
        <w:rPr>
          <w:rFonts w:hint="eastAsia"/>
          <w:color w:val="auto"/>
          <w:sz w:val="20"/>
          <w:szCs w:val="20"/>
        </w:rPr>
        <w:t>6</w:t>
      </w:r>
    </w:p>
    <w:p w:rsidR="00C11D11" w:rsidRDefault="00D7159F">
      <w:pPr>
        <w:pStyle w:val="Default"/>
        <w:snapToGrid w:val="0"/>
        <w:spacing w:line="360" w:lineRule="auto"/>
        <w:jc w:val="both"/>
        <w:rPr>
          <w:color w:val="auto"/>
          <w:sz w:val="20"/>
          <w:szCs w:val="20"/>
        </w:rPr>
      </w:pPr>
      <w:r>
        <w:rPr>
          <w:color w:val="auto"/>
          <w:sz w:val="20"/>
          <w:szCs w:val="20"/>
        </w:rPr>
        <w:t>Tentative date for publication: Jan. 202</w:t>
      </w:r>
      <w:r>
        <w:rPr>
          <w:rFonts w:hint="eastAsia"/>
          <w:color w:val="auto"/>
          <w:sz w:val="20"/>
          <w:szCs w:val="20"/>
        </w:rPr>
        <w:t>7</w:t>
      </w:r>
    </w:p>
    <w:p w:rsidR="00C11D11" w:rsidRDefault="00D7159F">
      <w:pPr>
        <w:pStyle w:val="Default"/>
        <w:snapToGrid w:val="0"/>
        <w:spacing w:before="60" w:after="60" w:line="360" w:lineRule="auto"/>
        <w:jc w:val="both"/>
        <w:rPr>
          <w:b/>
          <w:bCs/>
          <w:color w:val="auto"/>
          <w:sz w:val="22"/>
          <w:szCs w:val="22"/>
        </w:rPr>
      </w:pPr>
      <w:r>
        <w:rPr>
          <w:b/>
          <w:bCs/>
          <w:color w:val="auto"/>
          <w:sz w:val="22"/>
          <w:szCs w:val="22"/>
        </w:rPr>
        <w:t xml:space="preserve">About JMSE </w:t>
      </w:r>
    </w:p>
    <w:p w:rsidR="00C11D11" w:rsidRDefault="00D7159F">
      <w:pPr>
        <w:pStyle w:val="Default"/>
        <w:snapToGrid w:val="0"/>
        <w:spacing w:line="360" w:lineRule="auto"/>
        <w:jc w:val="both"/>
        <w:rPr>
          <w:sz w:val="20"/>
          <w:szCs w:val="20"/>
        </w:rPr>
      </w:pPr>
      <w:r>
        <w:rPr>
          <w:i/>
          <w:iCs/>
          <w:color w:val="auto"/>
          <w:sz w:val="20"/>
          <w:szCs w:val="20"/>
        </w:rPr>
        <w:t xml:space="preserve">Journal of Management Science and Engineering </w:t>
      </w:r>
      <w:r>
        <w:rPr>
          <w:color w:val="auto"/>
          <w:sz w:val="20"/>
          <w:szCs w:val="20"/>
        </w:rPr>
        <w:t xml:space="preserve">is a peer-reviewed scholarly journal on all aspects of management science and engineering published quarterly online. </w:t>
      </w:r>
      <w:r>
        <w:rPr>
          <w:i/>
          <w:iCs/>
          <w:color w:val="auto"/>
          <w:sz w:val="20"/>
          <w:szCs w:val="20"/>
        </w:rPr>
        <w:t xml:space="preserve">JMSE </w:t>
      </w:r>
      <w:r>
        <w:rPr>
          <w:color w:val="auto"/>
          <w:sz w:val="20"/>
          <w:szCs w:val="20"/>
        </w:rPr>
        <w:t xml:space="preserve">is sponsored jointly by National </w:t>
      </w:r>
      <w:r>
        <w:rPr>
          <w:color w:val="auto"/>
          <w:sz w:val="20"/>
          <w:szCs w:val="20"/>
        </w:rPr>
        <w:lastRenderedPageBreak/>
        <w:t xml:space="preserve">Natural Science Foundation of China (NSFC), Science Press and Tianjin University. </w:t>
      </w:r>
      <w:r>
        <w:rPr>
          <w:i/>
          <w:iCs/>
          <w:color w:val="auto"/>
          <w:sz w:val="20"/>
          <w:szCs w:val="20"/>
        </w:rPr>
        <w:t xml:space="preserve">JMSE </w:t>
      </w:r>
      <w:r>
        <w:rPr>
          <w:color w:val="auto"/>
          <w:sz w:val="20"/>
          <w:szCs w:val="20"/>
        </w:rPr>
        <w:t xml:space="preserve">collaborates </w:t>
      </w:r>
      <w:r>
        <w:rPr>
          <w:color w:val="auto"/>
          <w:sz w:val="20"/>
          <w:szCs w:val="20"/>
        </w:rPr>
        <w:t xml:space="preserve">with Elsevier through KeAi. All published papers are available on ScienceDirect. </w:t>
      </w:r>
      <w:r>
        <w:rPr>
          <w:i/>
          <w:iCs/>
          <w:color w:val="auto"/>
          <w:sz w:val="20"/>
          <w:szCs w:val="20"/>
        </w:rPr>
        <w:t xml:space="preserve">JMSE </w:t>
      </w:r>
      <w:r>
        <w:rPr>
          <w:rFonts w:hint="eastAsia"/>
          <w:color w:val="auto"/>
          <w:sz w:val="20"/>
          <w:szCs w:val="20"/>
        </w:rPr>
        <w:t>is</w:t>
      </w:r>
      <w:r>
        <w:rPr>
          <w:color w:val="auto"/>
          <w:sz w:val="20"/>
          <w:szCs w:val="20"/>
        </w:rPr>
        <w:t xml:space="preserve"> </w:t>
      </w:r>
      <w:r>
        <w:rPr>
          <w:rFonts w:hint="eastAsia"/>
          <w:color w:val="auto"/>
          <w:sz w:val="20"/>
          <w:szCs w:val="20"/>
        </w:rPr>
        <w:t>i</w:t>
      </w:r>
      <w:r>
        <w:rPr>
          <w:color w:val="auto"/>
          <w:sz w:val="20"/>
          <w:szCs w:val="20"/>
        </w:rPr>
        <w:t xml:space="preserve">dentified as the </w:t>
      </w:r>
      <w:r>
        <w:rPr>
          <w:sz w:val="20"/>
          <w:szCs w:val="20"/>
        </w:rPr>
        <w:t>2022 Most Internationally Influential Academic Journals in China (ranked as Top 3 among 80 journals).</w:t>
      </w:r>
    </w:p>
    <w:p w:rsidR="00C11D11" w:rsidRDefault="00D7159F">
      <w:pPr>
        <w:pStyle w:val="Default"/>
        <w:snapToGrid w:val="0"/>
        <w:spacing w:before="60" w:after="60" w:line="360" w:lineRule="auto"/>
        <w:jc w:val="both"/>
        <w:rPr>
          <w:b/>
          <w:bCs/>
          <w:color w:val="auto"/>
          <w:sz w:val="22"/>
          <w:szCs w:val="22"/>
        </w:rPr>
      </w:pPr>
      <w:r>
        <w:rPr>
          <w:b/>
          <w:bCs/>
          <w:color w:val="auto"/>
          <w:sz w:val="22"/>
          <w:szCs w:val="22"/>
        </w:rPr>
        <w:t xml:space="preserve">Benefits of publishing with JMSE </w:t>
      </w:r>
    </w:p>
    <w:p w:rsidR="00C11D11" w:rsidRDefault="00D7159F">
      <w:pPr>
        <w:pStyle w:val="Default"/>
        <w:snapToGrid w:val="0"/>
        <w:spacing w:line="360" w:lineRule="auto"/>
        <w:jc w:val="both"/>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Free public</w:t>
      </w:r>
      <w:r>
        <w:rPr>
          <w:color w:val="auto"/>
          <w:sz w:val="20"/>
          <w:szCs w:val="20"/>
        </w:rPr>
        <w:t xml:space="preserve">ation for well-prepared manuscripts </w:t>
      </w:r>
    </w:p>
    <w:p w:rsidR="00C11D11" w:rsidRDefault="00D7159F">
      <w:pPr>
        <w:pStyle w:val="Default"/>
        <w:snapToGrid w:val="0"/>
        <w:spacing w:line="360" w:lineRule="auto"/>
        <w:ind w:left="300" w:hangingChars="150" w:hanging="300"/>
        <w:jc w:val="both"/>
        <w:rPr>
          <w:color w:val="auto"/>
          <w:sz w:val="20"/>
          <w:szCs w:val="20"/>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Identified as “A Class Journal” by Department of Management Science, National Natural Science Foundation of China (NSFC) and as “Tier B Journal” by Federation of Management Societies of China (FMS)</w:t>
      </w:r>
    </w:p>
    <w:p w:rsidR="00C11D11" w:rsidRDefault="00D7159F">
      <w:pPr>
        <w:pStyle w:val="Default"/>
        <w:snapToGrid w:val="0"/>
        <w:spacing w:line="360" w:lineRule="auto"/>
        <w:ind w:left="300" w:hangingChars="150" w:hanging="300"/>
        <w:jc w:val="both"/>
        <w:rPr>
          <w:color w:val="auto"/>
        </w:rPr>
      </w:pPr>
      <w:r>
        <w:rPr>
          <w:rFonts w:ascii="Wingdings" w:hAnsi="Wingdings" w:cs="Wingdings"/>
          <w:color w:val="auto"/>
          <w:sz w:val="20"/>
          <w:szCs w:val="20"/>
        </w:rPr>
        <w:t></w:t>
      </w:r>
      <w:r>
        <w:rPr>
          <w:rFonts w:ascii="Wingdings" w:hAnsi="Wingdings" w:cs="Wingdings"/>
          <w:color w:val="auto"/>
          <w:sz w:val="20"/>
          <w:szCs w:val="20"/>
        </w:rPr>
        <w:t></w:t>
      </w:r>
      <w:r>
        <w:rPr>
          <w:color w:val="auto"/>
          <w:sz w:val="20"/>
          <w:szCs w:val="20"/>
        </w:rPr>
        <w:t>Fast-track review</w:t>
      </w:r>
      <w:r>
        <w:rPr>
          <w:color w:val="auto"/>
          <w:sz w:val="20"/>
          <w:szCs w:val="20"/>
        </w:rPr>
        <w:t xml:space="preserve"> process for all submissions in this Special Issue: manuscripts are peer-reviewed and a first decision provided to authors approximately </w:t>
      </w:r>
      <w:r>
        <w:rPr>
          <w:rFonts w:hint="eastAsia"/>
          <w:color w:val="auto"/>
          <w:sz w:val="20"/>
          <w:szCs w:val="20"/>
        </w:rPr>
        <w:t xml:space="preserve">no more than </w:t>
      </w:r>
      <w:r>
        <w:rPr>
          <w:color w:val="auto"/>
          <w:sz w:val="20"/>
          <w:szCs w:val="20"/>
        </w:rPr>
        <w:t>30 days after submission</w:t>
      </w:r>
    </w:p>
    <w:sectPr w:rsidR="00C11D11">
      <w:headerReference w:type="default" r:id="rId9"/>
      <w:pgSz w:w="11905" w:h="17340"/>
      <w:pgMar w:top="1520" w:right="1194" w:bottom="794" w:left="140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7159F">
      <w:r>
        <w:separator/>
      </w:r>
    </w:p>
  </w:endnote>
  <w:endnote w:type="continuationSeparator" w:id="0">
    <w:p w:rsidR="00000000" w:rsidRDefault="00D7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7159F">
      <w:r>
        <w:separator/>
      </w:r>
    </w:p>
  </w:footnote>
  <w:footnote w:type="continuationSeparator" w:id="0">
    <w:p w:rsidR="00000000" w:rsidRDefault="00D71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D11" w:rsidRDefault="00D7159F">
    <w:r>
      <w:rPr>
        <w:noProof/>
      </w:rPr>
      <w:drawing>
        <wp:anchor distT="0" distB="0" distL="114300" distR="114300" simplePos="0" relativeHeight="251660288" behindDoc="0" locked="0" layoutInCell="1" allowOverlap="1">
          <wp:simplePos x="0" y="0"/>
          <wp:positionH relativeFrom="column">
            <wp:posOffset>27940</wp:posOffset>
          </wp:positionH>
          <wp:positionV relativeFrom="paragraph">
            <wp:posOffset>-79375</wp:posOffset>
          </wp:positionV>
          <wp:extent cx="2757805" cy="558165"/>
          <wp:effectExtent l="0" t="0" r="508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57600" cy="558000"/>
                  </a:xfrm>
                  <a:prstGeom prst="rect">
                    <a:avLst/>
                  </a:prstGeom>
                </pic:spPr>
              </pic:pic>
            </a:graphicData>
          </a:graphic>
        </wp:anchor>
      </w:drawing>
    </w:r>
    <w:r>
      <w:rPr>
        <w:noProof/>
      </w:rPr>
      <w:drawing>
        <wp:anchor distT="0" distB="0" distL="114300" distR="114300" simplePos="0" relativeHeight="251659264" behindDoc="0" locked="0" layoutInCell="1" allowOverlap="1">
          <wp:simplePos x="0" y="0"/>
          <wp:positionH relativeFrom="column">
            <wp:posOffset>4467225</wp:posOffset>
          </wp:positionH>
          <wp:positionV relativeFrom="paragraph">
            <wp:posOffset>7620</wp:posOffset>
          </wp:positionV>
          <wp:extent cx="1439545" cy="434975"/>
          <wp:effectExtent l="0" t="0" r="8255" b="31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439545" cy="434975"/>
                  </a:xfrm>
                  <a:prstGeom prst="rect">
                    <a:avLst/>
                  </a:prstGeom>
                </pic:spPr>
              </pic:pic>
            </a:graphicData>
          </a:graphic>
        </wp:anchor>
      </w:drawing>
    </w:r>
    <w:r>
      <w:t xml:space="preserve"> </w:t>
    </w:r>
    <w:r>
      <w:rPr>
        <w:rFonts w:hint="eastAsia"/>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0056A"/>
    <w:multiLevelType w:val="multilevel"/>
    <w:tmpl w:val="6AC005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22A"/>
    <w:rsid w:val="00006E2E"/>
    <w:rsid w:val="000117A0"/>
    <w:rsid w:val="000255D7"/>
    <w:rsid w:val="00040DD8"/>
    <w:rsid w:val="00050A9A"/>
    <w:rsid w:val="00065915"/>
    <w:rsid w:val="000660B8"/>
    <w:rsid w:val="00076473"/>
    <w:rsid w:val="00077F01"/>
    <w:rsid w:val="000911DF"/>
    <w:rsid w:val="000A0741"/>
    <w:rsid w:val="000A0A3A"/>
    <w:rsid w:val="000B2EED"/>
    <w:rsid w:val="000D6F5F"/>
    <w:rsid w:val="000D73B3"/>
    <w:rsid w:val="00102808"/>
    <w:rsid w:val="00111C6B"/>
    <w:rsid w:val="001304AB"/>
    <w:rsid w:val="00143A17"/>
    <w:rsid w:val="001564A2"/>
    <w:rsid w:val="00174E0D"/>
    <w:rsid w:val="0018533C"/>
    <w:rsid w:val="001A2014"/>
    <w:rsid w:val="001B31F9"/>
    <w:rsid w:val="001B6BD7"/>
    <w:rsid w:val="001D16E2"/>
    <w:rsid w:val="001D412E"/>
    <w:rsid w:val="001D65A1"/>
    <w:rsid w:val="001D6D2F"/>
    <w:rsid w:val="00202A9F"/>
    <w:rsid w:val="00242A38"/>
    <w:rsid w:val="00243FFD"/>
    <w:rsid w:val="0025225B"/>
    <w:rsid w:val="00270DAE"/>
    <w:rsid w:val="00280F1A"/>
    <w:rsid w:val="00292202"/>
    <w:rsid w:val="002C32CC"/>
    <w:rsid w:val="002E32A8"/>
    <w:rsid w:val="002E7F90"/>
    <w:rsid w:val="002F18A1"/>
    <w:rsid w:val="00306C67"/>
    <w:rsid w:val="00310C93"/>
    <w:rsid w:val="00331439"/>
    <w:rsid w:val="003609A9"/>
    <w:rsid w:val="00374A1B"/>
    <w:rsid w:val="003A0FE7"/>
    <w:rsid w:val="003A51F7"/>
    <w:rsid w:val="003C0A23"/>
    <w:rsid w:val="003C64B2"/>
    <w:rsid w:val="003D0F8C"/>
    <w:rsid w:val="003F3242"/>
    <w:rsid w:val="00400647"/>
    <w:rsid w:val="00405FF4"/>
    <w:rsid w:val="0041419A"/>
    <w:rsid w:val="00422142"/>
    <w:rsid w:val="00423997"/>
    <w:rsid w:val="00424426"/>
    <w:rsid w:val="00424C22"/>
    <w:rsid w:val="00453BA7"/>
    <w:rsid w:val="00464510"/>
    <w:rsid w:val="00465BAF"/>
    <w:rsid w:val="004665BF"/>
    <w:rsid w:val="00467F67"/>
    <w:rsid w:val="00474072"/>
    <w:rsid w:val="00485FC0"/>
    <w:rsid w:val="00487EDA"/>
    <w:rsid w:val="00493AD0"/>
    <w:rsid w:val="004A05FC"/>
    <w:rsid w:val="004B5114"/>
    <w:rsid w:val="004F1437"/>
    <w:rsid w:val="005062E6"/>
    <w:rsid w:val="005272B4"/>
    <w:rsid w:val="00533789"/>
    <w:rsid w:val="005356BD"/>
    <w:rsid w:val="00536E28"/>
    <w:rsid w:val="00544BF6"/>
    <w:rsid w:val="00554786"/>
    <w:rsid w:val="00554C8C"/>
    <w:rsid w:val="00573431"/>
    <w:rsid w:val="00573AFC"/>
    <w:rsid w:val="005842A9"/>
    <w:rsid w:val="005B0F81"/>
    <w:rsid w:val="005B7696"/>
    <w:rsid w:val="005B7B5C"/>
    <w:rsid w:val="005C180B"/>
    <w:rsid w:val="005F222A"/>
    <w:rsid w:val="005F5EFC"/>
    <w:rsid w:val="00600D94"/>
    <w:rsid w:val="00601845"/>
    <w:rsid w:val="00611D99"/>
    <w:rsid w:val="00614841"/>
    <w:rsid w:val="00634EF4"/>
    <w:rsid w:val="00634F97"/>
    <w:rsid w:val="00654DC2"/>
    <w:rsid w:val="00674D49"/>
    <w:rsid w:val="00682A76"/>
    <w:rsid w:val="00684F40"/>
    <w:rsid w:val="00686120"/>
    <w:rsid w:val="006B1AC3"/>
    <w:rsid w:val="006D7B89"/>
    <w:rsid w:val="006E4F45"/>
    <w:rsid w:val="00711FC4"/>
    <w:rsid w:val="00712076"/>
    <w:rsid w:val="007154C7"/>
    <w:rsid w:val="00741A9E"/>
    <w:rsid w:val="00751EB1"/>
    <w:rsid w:val="007524F9"/>
    <w:rsid w:val="0078333A"/>
    <w:rsid w:val="007F578F"/>
    <w:rsid w:val="00821764"/>
    <w:rsid w:val="00831B2C"/>
    <w:rsid w:val="0085464C"/>
    <w:rsid w:val="00876E9D"/>
    <w:rsid w:val="00883705"/>
    <w:rsid w:val="00887E7E"/>
    <w:rsid w:val="00897609"/>
    <w:rsid w:val="008A62E2"/>
    <w:rsid w:val="008A7669"/>
    <w:rsid w:val="008B6393"/>
    <w:rsid w:val="008C0785"/>
    <w:rsid w:val="008C6F46"/>
    <w:rsid w:val="008D17A0"/>
    <w:rsid w:val="008D2544"/>
    <w:rsid w:val="008D25E8"/>
    <w:rsid w:val="008E57DE"/>
    <w:rsid w:val="00906598"/>
    <w:rsid w:val="00911BF0"/>
    <w:rsid w:val="00916A5C"/>
    <w:rsid w:val="009323D1"/>
    <w:rsid w:val="009335FD"/>
    <w:rsid w:val="009518AB"/>
    <w:rsid w:val="009C73D3"/>
    <w:rsid w:val="009D0743"/>
    <w:rsid w:val="009D1C8B"/>
    <w:rsid w:val="009E1D7C"/>
    <w:rsid w:val="00A03701"/>
    <w:rsid w:val="00A1102A"/>
    <w:rsid w:val="00A16704"/>
    <w:rsid w:val="00A17905"/>
    <w:rsid w:val="00A223EB"/>
    <w:rsid w:val="00A353AA"/>
    <w:rsid w:val="00A436A8"/>
    <w:rsid w:val="00A51CFD"/>
    <w:rsid w:val="00A57E5C"/>
    <w:rsid w:val="00A62446"/>
    <w:rsid w:val="00A6286A"/>
    <w:rsid w:val="00A67E75"/>
    <w:rsid w:val="00A85F08"/>
    <w:rsid w:val="00AA7493"/>
    <w:rsid w:val="00AC3425"/>
    <w:rsid w:val="00AD52C2"/>
    <w:rsid w:val="00B51730"/>
    <w:rsid w:val="00B52295"/>
    <w:rsid w:val="00B653BD"/>
    <w:rsid w:val="00B70B4C"/>
    <w:rsid w:val="00B71587"/>
    <w:rsid w:val="00B91AEF"/>
    <w:rsid w:val="00B92368"/>
    <w:rsid w:val="00BB099A"/>
    <w:rsid w:val="00BE1FB9"/>
    <w:rsid w:val="00BE3186"/>
    <w:rsid w:val="00BE7E30"/>
    <w:rsid w:val="00C07150"/>
    <w:rsid w:val="00C11D11"/>
    <w:rsid w:val="00C169A6"/>
    <w:rsid w:val="00C315FB"/>
    <w:rsid w:val="00C32783"/>
    <w:rsid w:val="00C5400B"/>
    <w:rsid w:val="00C71D78"/>
    <w:rsid w:val="00C875AA"/>
    <w:rsid w:val="00CA4B74"/>
    <w:rsid w:val="00CC126F"/>
    <w:rsid w:val="00CE688F"/>
    <w:rsid w:val="00D055CD"/>
    <w:rsid w:val="00D06454"/>
    <w:rsid w:val="00D114A9"/>
    <w:rsid w:val="00D150AF"/>
    <w:rsid w:val="00D35EE4"/>
    <w:rsid w:val="00D42BB6"/>
    <w:rsid w:val="00D45027"/>
    <w:rsid w:val="00D53C3E"/>
    <w:rsid w:val="00D7159F"/>
    <w:rsid w:val="00D71885"/>
    <w:rsid w:val="00D76B1C"/>
    <w:rsid w:val="00D914E5"/>
    <w:rsid w:val="00D968A6"/>
    <w:rsid w:val="00DA0016"/>
    <w:rsid w:val="00DC3023"/>
    <w:rsid w:val="00DC754D"/>
    <w:rsid w:val="00DD4983"/>
    <w:rsid w:val="00DE5F5C"/>
    <w:rsid w:val="00DE73F4"/>
    <w:rsid w:val="00DF3558"/>
    <w:rsid w:val="00E0272A"/>
    <w:rsid w:val="00E03C89"/>
    <w:rsid w:val="00E060FB"/>
    <w:rsid w:val="00E40784"/>
    <w:rsid w:val="00E60135"/>
    <w:rsid w:val="00E66664"/>
    <w:rsid w:val="00E87A29"/>
    <w:rsid w:val="00E932E6"/>
    <w:rsid w:val="00EB4D9D"/>
    <w:rsid w:val="00EF69DF"/>
    <w:rsid w:val="00F03FBD"/>
    <w:rsid w:val="00F27564"/>
    <w:rsid w:val="00F51D24"/>
    <w:rsid w:val="00F617E6"/>
    <w:rsid w:val="00F673B8"/>
    <w:rsid w:val="00F71B90"/>
    <w:rsid w:val="00F779F2"/>
    <w:rsid w:val="00F80B41"/>
    <w:rsid w:val="00F826AB"/>
    <w:rsid w:val="00F91A34"/>
    <w:rsid w:val="00F92FA1"/>
    <w:rsid w:val="00F935E3"/>
    <w:rsid w:val="00F9435E"/>
    <w:rsid w:val="00F94766"/>
    <w:rsid w:val="00FB46A4"/>
    <w:rsid w:val="00FB5AD4"/>
    <w:rsid w:val="00FC6FE1"/>
    <w:rsid w:val="00FD32F4"/>
    <w:rsid w:val="00FE1F44"/>
    <w:rsid w:val="00FE43DB"/>
    <w:rsid w:val="00FF6B7B"/>
    <w:rsid w:val="01D92F9F"/>
    <w:rsid w:val="04257D07"/>
    <w:rsid w:val="15207755"/>
    <w:rsid w:val="29934608"/>
    <w:rsid w:val="2D947006"/>
    <w:rsid w:val="4CEF5BAF"/>
    <w:rsid w:val="51C065DD"/>
    <w:rsid w:val="5A2A6479"/>
    <w:rsid w:val="5D4B35B7"/>
    <w:rsid w:val="67B37FB5"/>
    <w:rsid w:val="78D96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D283A5-CBCE-4340-B0BD-E50AE0C18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uiPriority w:val="99"/>
    <w:semiHidden/>
    <w:unhideWhenUsed/>
    <w:qFormat/>
    <w:rPr>
      <w:b/>
      <w:bCs/>
    </w:rPr>
  </w:style>
  <w:style w:type="character" w:styleId="ae">
    <w:name w:val="Hyperlink"/>
    <w:basedOn w:val="a0"/>
    <w:uiPriority w:val="99"/>
    <w:unhideWhenUsed/>
    <w:qFormat/>
    <w:rPr>
      <w:color w:val="0563C1" w:themeColor="hyperlink"/>
      <w:u w:val="single"/>
    </w:rPr>
  </w:style>
  <w:style w:type="character" w:styleId="af">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Default">
    <w:name w:val="Default"/>
    <w:qFormat/>
    <w:pPr>
      <w:widowControl w:val="0"/>
      <w:autoSpaceDE w:val="0"/>
      <w:autoSpaceDN w:val="0"/>
      <w:adjustRightInd w:val="0"/>
    </w:pPr>
    <w:rPr>
      <w:rFonts w:ascii="Palatino Linotype" w:hAnsi="Palatino Linotype" w:cs="Palatino Linotype"/>
      <w:color w:val="000000"/>
      <w:sz w:val="24"/>
      <w:szCs w:val="24"/>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d">
    <w:name w:val="批注主题 字符"/>
    <w:basedOn w:val="a4"/>
    <w:link w:val="ac"/>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sciencedirect.com/journal/journal-of-management-science-and-engineer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354C5-2A6B-457C-B594-37A68FADC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Words>
  <Characters>2855</Characters>
  <Application>Microsoft Office Word</Application>
  <DocSecurity>0</DocSecurity>
  <Lines>23</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2</cp:revision>
  <cp:lastPrinted>2019-01-30T13:57:00Z</cp:lastPrinted>
  <dcterms:created xsi:type="dcterms:W3CDTF">2026-04-21T01:59:00Z</dcterms:created>
  <dcterms:modified xsi:type="dcterms:W3CDTF">2026-04-21T01:59:00Z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eyJoZGlkIjoiMWEwNzg3MzljZDMyMjVlOWE0YWZkOWIxMzIyYjFiYjIiLCJ1c2VySWQiOiIxNjg4MTMwMjkzIn0=</vt:lpwstr>
  </property>
  <property fmtid="{D5CDD505-2E9C-101B-9397-08002B2CF9AE}" pid="3" name="KSOProductBuildVer">
    <vt:lpwstr>2052-12.1.0.23542</vt:lpwstr>
  </property>
  <property fmtid="{D5CDD505-2E9C-101B-9397-08002B2CF9AE}" pid="4" name="ICV">
    <vt:lpwstr>497B4B852EAC474693DB284389DC68E1_12</vt:lpwstr>
  </property>
</Properties>
</file>